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3381375" cy="1266825"/>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381375" cy="12668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Extra work request form</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To –  cscextraworksandquotes@sanctuary.co.uk</w:t>
      </w:r>
    </w:p>
    <w:p w:rsidR="00000000" w:rsidDel="00000000" w:rsidP="00000000" w:rsidRDefault="00000000" w:rsidRPr="00000000" w14:paraId="00000005">
      <w:pPr>
        <w:rPr/>
      </w:pPr>
      <w:r w:rsidDel="00000000" w:rsidR="00000000" w:rsidRPr="00000000">
        <w:rPr>
          <w:rtl w:val="0"/>
        </w:rPr>
      </w:r>
    </w:p>
    <w:tbl>
      <w:tblPr>
        <w:tblStyle w:val="Table1"/>
        <w:tblW w:w="829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1"/>
        <w:gridCol w:w="4895"/>
        <w:tblGridChange w:id="0">
          <w:tblGrid>
            <w:gridCol w:w="3401"/>
            <w:gridCol w:w="4895"/>
          </w:tblGrid>
        </w:tblGridChange>
      </w:tblGrid>
      <w:tr>
        <w:trPr>
          <w:cantSplit w:val="0"/>
          <w:trHeight w:val="417" w:hRule="atLeast"/>
          <w:tblHeader w:val="0"/>
        </w:trPr>
        <w:tc>
          <w:tcPr>
            <w:shd w:fill="auto" w:val="clear"/>
          </w:tcPr>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Contractor name</w:t>
            </w:r>
          </w:p>
        </w:tc>
        <w:tc>
          <w:tcPr>
            <w:shd w:fill="auto" w:val="clear"/>
          </w:tcPr>
          <w:p w:rsidR="00000000" w:rsidDel="00000000" w:rsidP="00000000" w:rsidRDefault="00000000" w:rsidRPr="00000000" w14:paraId="00000007">
            <w:pPr>
              <w:rPr>
                <w:sz w:val="24"/>
                <w:szCs w:val="24"/>
              </w:rPr>
            </w:pPr>
            <w:r w:rsidDel="00000000" w:rsidR="00000000" w:rsidRPr="00000000">
              <w:rPr>
                <w:rFonts w:ascii="Cascadia Mono" w:cs="Cascadia Mono" w:eastAsia="Cascadia Mono" w:hAnsi="Cascadia Mono"/>
                <w:color w:val="000000"/>
                <w:sz w:val="19"/>
                <w:szCs w:val="19"/>
                <w:rtl w:val="0"/>
              </w:rPr>
              <w:t xml:space="preserve">BPM Contracting Services Ltd</w:t>
            </w:r>
            <w:r w:rsidDel="00000000" w:rsidR="00000000" w:rsidRPr="00000000">
              <w:rPr>
                <w:rtl w:val="0"/>
              </w:rPr>
            </w:r>
          </w:p>
        </w:tc>
      </w:tr>
      <w:tr>
        <w:trPr>
          <w:cantSplit w:val="0"/>
          <w:trHeight w:val="1049" w:hRule="atLeast"/>
          <w:tblHeader w:val="0"/>
        </w:trPr>
        <w:tc>
          <w:tcPr>
            <w:shd w:fill="auto" w:val="clear"/>
          </w:tcPr>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Property Address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tc>
        <w:tc>
          <w:tcPr>
            <w:shd w:fill="auto" w:val="clear"/>
          </w:tcPr>
          <w:p w:rsidR="00000000" w:rsidDel="00000000" w:rsidP="00000000" w:rsidRDefault="00000000" w:rsidRPr="00000000" w14:paraId="0000000B">
            <w:pPr>
              <w:rPr>
                <w:sz w:val="24"/>
                <w:szCs w:val="24"/>
              </w:rPr>
            </w:pPr>
            <w:r w:rsidDel="00000000" w:rsidR="00000000" w:rsidRPr="00000000">
              <w:rPr>
                <w:rFonts w:ascii="Cascadia Mono" w:cs="Cascadia Mono" w:eastAsia="Cascadia Mono" w:hAnsi="Cascadia Mono"/>
                <w:color w:val="000000"/>
                <w:sz w:val="19"/>
                <w:szCs w:val="19"/>
                <w:rtl w:val="0"/>
              </w:rPr>
              <w:t xml:space="preserve">54 The Hollows, Wilton, Salisbury, SP2 0JE</w:t>
            </w:r>
            <w:r w:rsidDel="00000000" w:rsidR="00000000" w:rsidRPr="00000000">
              <w:rPr>
                <w:rtl w:val="0"/>
              </w:rPr>
            </w:r>
          </w:p>
        </w:tc>
      </w:tr>
      <w:tr>
        <w:trPr>
          <w:cantSplit w:val="0"/>
          <w:trHeight w:val="458" w:hRule="atLeast"/>
          <w:tblHeader w:val="0"/>
        </w:trPr>
        <w:tc>
          <w:tcPr>
            <w:shd w:fill="auto" w:val="clear"/>
          </w:tcPr>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Works order number</w:t>
            </w:r>
          </w:p>
        </w:tc>
        <w:tc>
          <w:tcPr>
            <w:shd w:fill="auto" w:val="clear"/>
          </w:tcPr>
          <w:p w:rsidR="00000000" w:rsidDel="00000000" w:rsidP="00000000" w:rsidRDefault="00000000" w:rsidRPr="00000000" w14:paraId="0000000D">
            <w:pPr>
              <w:rPr>
                <w:sz w:val="24"/>
                <w:szCs w:val="24"/>
              </w:rPr>
            </w:pPr>
            <w:r w:rsidDel="00000000" w:rsidR="00000000" w:rsidRPr="00000000">
              <w:rPr>
                <w:rFonts w:ascii="Cascadia Mono" w:cs="Cascadia Mono" w:eastAsia="Cascadia Mono" w:hAnsi="Cascadia Mono"/>
                <w:color w:val="000000"/>
                <w:sz w:val="19"/>
                <w:szCs w:val="19"/>
                <w:rtl w:val="0"/>
              </w:rPr>
              <w:t xml:space="preserve">4501455864</w:t>
            </w:r>
            <w:r w:rsidDel="00000000" w:rsidR="00000000" w:rsidRPr="00000000">
              <w:rPr>
                <w:rtl w:val="0"/>
              </w:rPr>
            </w:r>
          </w:p>
        </w:tc>
      </w:tr>
      <w:tr>
        <w:trPr>
          <w:cantSplit w:val="0"/>
          <w:trHeight w:val="570" w:hRule="atLeast"/>
          <w:tblHeader w:val="0"/>
        </w:trPr>
        <w:tc>
          <w:tcPr>
            <w:shd w:fill="auto" w:val="clear"/>
          </w:tcPr>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Date &amp; Time  original job line was completed</w:t>
            </w:r>
          </w:p>
        </w:tc>
        <w:tc>
          <w:tcPr>
            <w:shd w:fill="auto" w:val="clear"/>
          </w:tcPr>
          <w:p w:rsidR="00000000" w:rsidDel="00000000" w:rsidP="00000000" w:rsidRDefault="00000000" w:rsidRPr="00000000" w14:paraId="0000000F">
            <w:pPr>
              <w:rPr>
                <w:sz w:val="24"/>
                <w:szCs w:val="24"/>
              </w:rPr>
            </w:pPr>
            <w:r w:rsidDel="00000000" w:rsidR="00000000" w:rsidRPr="00000000">
              <w:rPr>
                <w:rFonts w:ascii="Cascadia Mono" w:cs="Cascadia Mono" w:eastAsia="Cascadia Mono" w:hAnsi="Cascadia Mono"/>
                <w:color w:val="000000"/>
                <w:sz w:val="19"/>
                <w:szCs w:val="19"/>
                <w:rtl w:val="0"/>
              </w:rPr>
              <w:t xml:space="preserve">01/04/2025</w:t>
            </w:r>
            <w:r w:rsidDel="00000000" w:rsidR="00000000" w:rsidRPr="00000000">
              <w:rPr>
                <w:rtl w:val="0"/>
              </w:rPr>
            </w:r>
          </w:p>
        </w:tc>
      </w:tr>
      <w:tr>
        <w:trPr>
          <w:cantSplit w:val="0"/>
          <w:trHeight w:val="2225" w:hRule="atLeast"/>
          <w:tblHeader w:val="0"/>
        </w:trPr>
        <w:tc>
          <w:tcPr>
            <w:shd w:fill="auto" w:val="clear"/>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Extra works SOR code</w:t>
            </w:r>
          </w:p>
          <w:p w:rsidR="00000000" w:rsidDel="00000000" w:rsidP="00000000" w:rsidRDefault="00000000" w:rsidRPr="00000000" w14:paraId="00000011">
            <w:pPr>
              <w:rPr>
                <w:sz w:val="24"/>
                <w:szCs w:val="24"/>
              </w:rPr>
            </w:pPr>
            <w:r w:rsidDel="00000000" w:rsidR="00000000" w:rsidRPr="00000000">
              <w:rPr>
                <w:rtl w:val="0"/>
              </w:rPr>
            </w:r>
          </w:p>
        </w:tc>
        <w:tc>
          <w:tcPr>
            <w:shd w:fill="auto" w:val="clear"/>
          </w:tcPr>
          <w:p w:rsidR="00000000" w:rsidDel="00000000" w:rsidP="00000000" w:rsidRDefault="00000000" w:rsidRPr="00000000" w14:paraId="00000012">
            <w:pPr>
              <w:rPr>
                <w:rFonts w:ascii="Cascadia Mono" w:cs="Cascadia Mono" w:eastAsia="Cascadia Mono" w:hAnsi="Cascadia Mono"/>
                <w:sz w:val="19"/>
                <w:szCs w:val="19"/>
              </w:rPr>
            </w:pPr>
            <w:r w:rsidDel="00000000" w:rsidR="00000000" w:rsidRPr="00000000">
              <w:rPr>
                <w:rFonts w:ascii="Cascadia Mono" w:cs="Cascadia Mono" w:eastAsia="Cascadia Mono" w:hAnsi="Cascadia Mono"/>
                <w:color w:val="000000"/>
                <w:sz w:val="19"/>
                <w:szCs w:val="19"/>
                <w:rtl w:val="0"/>
              </w:rPr>
              <w:br w:type="textWrapping"/>
              <w:t xml:space="preserve">201303</w:t>
              <w:br w:type="textWrapping"/>
            </w:r>
            <w:r w:rsidDel="00000000" w:rsidR="00000000" w:rsidRPr="00000000">
              <w:rPr>
                <w:rFonts w:ascii="Cascadia Mono" w:cs="Cascadia Mono" w:eastAsia="Cascadia Mono" w:hAnsi="Cascadia Mono"/>
                <w:sz w:val="19"/>
                <w:szCs w:val="19"/>
                <w:rtl w:val="0"/>
              </w:rPr>
              <w:t xml:space="preserve">201703</w:t>
            </w:r>
          </w:p>
          <w:p w:rsidR="00000000" w:rsidDel="00000000" w:rsidP="00000000" w:rsidRDefault="00000000" w:rsidRPr="00000000" w14:paraId="00000013">
            <w:pPr>
              <w:rPr>
                <w:rFonts w:ascii="Cascadia Mono" w:cs="Cascadia Mono" w:eastAsia="Cascadia Mono" w:hAnsi="Cascadia Mono"/>
                <w:sz w:val="19"/>
                <w:szCs w:val="19"/>
              </w:rPr>
            </w:pPr>
            <w:r w:rsidDel="00000000" w:rsidR="00000000" w:rsidRPr="00000000">
              <w:rPr>
                <w:rFonts w:ascii="Cascadia Mono" w:cs="Cascadia Mono" w:eastAsia="Cascadia Mono" w:hAnsi="Cascadia Mono"/>
                <w:sz w:val="19"/>
                <w:szCs w:val="19"/>
                <w:rtl w:val="0"/>
              </w:rPr>
              <w:t xml:space="preserve">201715</w:t>
            </w:r>
          </w:p>
          <w:p w:rsidR="00000000" w:rsidDel="00000000" w:rsidP="00000000" w:rsidRDefault="00000000" w:rsidRPr="00000000" w14:paraId="00000014">
            <w:pPr>
              <w:rPr>
                <w:rFonts w:ascii="Cascadia Mono" w:cs="Cascadia Mono" w:eastAsia="Cascadia Mono" w:hAnsi="Cascadia Mono"/>
                <w:color w:val="000000"/>
                <w:sz w:val="19"/>
                <w:szCs w:val="19"/>
              </w:rPr>
            </w:pPr>
            <w:r w:rsidDel="00000000" w:rsidR="00000000" w:rsidRPr="00000000">
              <w:rPr>
                <w:rFonts w:ascii="Cascadia Mono" w:cs="Cascadia Mono" w:eastAsia="Cascadia Mono" w:hAnsi="Cascadia Mono"/>
                <w:color w:val="000000"/>
                <w:sz w:val="19"/>
                <w:szCs w:val="19"/>
                <w:rtl w:val="0"/>
              </w:rPr>
              <w:t xml:space="preserve">201150</w:t>
              <w:br w:type="textWrapping"/>
            </w:r>
            <w:r w:rsidDel="00000000" w:rsidR="00000000" w:rsidRPr="00000000">
              <w:rPr>
                <w:rFonts w:ascii="Cascadia Mono" w:cs="Cascadia Mono" w:eastAsia="Cascadia Mono" w:hAnsi="Cascadia Mono"/>
                <w:sz w:val="19"/>
                <w:szCs w:val="19"/>
                <w:rtl w:val="0"/>
              </w:rPr>
              <w:t xml:space="preserve">201503</w:t>
            </w:r>
            <w:r w:rsidDel="00000000" w:rsidR="00000000" w:rsidRPr="00000000">
              <w:rPr>
                <w:rFonts w:ascii="Cascadia Mono" w:cs="Cascadia Mono" w:eastAsia="Cascadia Mono" w:hAnsi="Cascadia Mono"/>
                <w:color w:val="000000"/>
                <w:sz w:val="19"/>
                <w:szCs w:val="19"/>
                <w:rtl w:val="0"/>
              </w:rPr>
              <w:br w:type="textWrapping"/>
              <w:t xml:space="preserve">303003</w:t>
              <w:br w:type="textWrapping"/>
              <w:t xml:space="preserve">303008</w:t>
              <w:br w:type="textWrapping"/>
              <w:t xml:space="preserve">603109</w:t>
              <w:br w:type="textWrapping"/>
              <w:t xml:space="preserve">231001</w:t>
              <w:br w:type="textWrapping"/>
              <w:t xml:space="preserve">231013</w:t>
            </w:r>
          </w:p>
          <w:p w:rsidR="00000000" w:rsidDel="00000000" w:rsidP="00000000" w:rsidRDefault="00000000" w:rsidRPr="00000000" w14:paraId="00000015">
            <w:pPr>
              <w:rPr>
                <w:rFonts w:ascii="Cascadia Mono" w:cs="Cascadia Mono" w:eastAsia="Cascadia Mono" w:hAnsi="Cascadia Mono"/>
                <w:sz w:val="19"/>
                <w:szCs w:val="19"/>
              </w:rPr>
            </w:pPr>
            <w:r w:rsidDel="00000000" w:rsidR="00000000" w:rsidRPr="00000000">
              <w:rPr>
                <w:rFonts w:ascii="Cascadia Mono" w:cs="Cascadia Mono" w:eastAsia="Cascadia Mono" w:hAnsi="Cascadia Mono"/>
                <w:sz w:val="19"/>
                <w:szCs w:val="19"/>
                <w:rtl w:val="0"/>
              </w:rPr>
              <w:t xml:space="preserve">custom for scaffolding</w:t>
            </w:r>
          </w:p>
          <w:p w:rsidR="00000000" w:rsidDel="00000000" w:rsidP="00000000" w:rsidRDefault="00000000" w:rsidRPr="00000000" w14:paraId="00000016">
            <w:pPr>
              <w:rPr>
                <w:rFonts w:ascii="Cascadia Mono" w:cs="Cascadia Mono" w:eastAsia="Cascadia Mono" w:hAnsi="Cascadia Mono"/>
                <w:sz w:val="19"/>
                <w:szCs w:val="19"/>
              </w:rPr>
            </w:pPr>
            <w:r w:rsidDel="00000000" w:rsidR="00000000" w:rsidRPr="00000000">
              <w:rPr>
                <w:rtl w:val="0"/>
              </w:rPr>
            </w:r>
          </w:p>
        </w:tc>
      </w:tr>
      <w:tr>
        <w:trPr>
          <w:cantSplit w:val="0"/>
          <w:trHeight w:val="854" w:hRule="atLeast"/>
          <w:tblHeader w:val="0"/>
        </w:trPr>
        <w:tc>
          <w:tcPr>
            <w:shd w:fill="auto" w:val="clear"/>
          </w:tcPr>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Extra works Description</w:t>
            </w:r>
          </w:p>
          <w:p w:rsidR="00000000" w:rsidDel="00000000" w:rsidP="00000000" w:rsidRDefault="00000000" w:rsidRPr="00000000" w14:paraId="00000018">
            <w:pPr>
              <w:rPr>
                <w:sz w:val="24"/>
                <w:szCs w:val="24"/>
              </w:rPr>
            </w:pPr>
            <w:r w:rsidDel="00000000" w:rsidR="00000000" w:rsidRPr="00000000">
              <w:rPr>
                <w:rtl w:val="0"/>
              </w:rPr>
            </w:r>
          </w:p>
        </w:tc>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scadia Mono" w:cs="Cascadia Mono" w:eastAsia="Cascadia Mono" w:hAnsi="Cascadia Mono"/>
                <w:b w:val="0"/>
                <w:i w:val="0"/>
                <w:smallCaps w:val="0"/>
                <w:strike w:val="0"/>
                <w:color w:val="000000"/>
                <w:sz w:val="19"/>
                <w:szCs w:val="19"/>
                <w:u w:val="none"/>
                <w:shd w:fill="auto" w:val="clear"/>
                <w:vertAlign w:val="baseline"/>
              </w:rPr>
            </w:pPr>
            <w:r w:rsidDel="00000000" w:rsidR="00000000" w:rsidRPr="00000000">
              <w:rPr>
                <w:rFonts w:ascii="Cascadia Mono" w:cs="Cascadia Mono" w:eastAsia="Cascadia Mono" w:hAnsi="Cascadia Mono"/>
                <w:b w:val="0"/>
                <w:i w:val="0"/>
                <w:smallCaps w:val="0"/>
                <w:strike w:val="0"/>
                <w:color w:val="000000"/>
                <w:sz w:val="19"/>
                <w:szCs w:val="19"/>
                <w:u w:val="none"/>
                <w:shd w:fill="auto" w:val="clear"/>
                <w:vertAlign w:val="baseline"/>
                <w:rtl w:val="0"/>
              </w:rPr>
              <w:t xml:space="preserve">VARIATION BELOW TO INCLUDE- Full roof replacement (new felt and battens and new tiles)- Full fascia and soffits replacement (existing are rotten and damaged by worms)</w:t>
              <w:br w:type="textWrapping"/>
              <w:br w:type="textWrapping"/>
              <w:t xml:space="preserve">Roof Tile:Renew any plain concrete or clay roof tiles (in groups over 10 No.) and remove waste and debris., Quantity: 52.00 SM, SOR: 201303</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scadia Mono" w:cs="Cascadia Mono" w:eastAsia="Cascadia Mono" w:hAnsi="Cascadia Mono"/>
                <w:sz w:val="19"/>
                <w:szCs w:val="19"/>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scadia Mono" w:cs="Cascadia Mono" w:eastAsia="Cascadia Mono" w:hAnsi="Cascadia Mono"/>
                <w:sz w:val="19"/>
                <w:szCs w:val="19"/>
              </w:rPr>
            </w:pPr>
            <w:r w:rsidDel="00000000" w:rsidR="00000000" w:rsidRPr="00000000">
              <w:rPr>
                <w:rFonts w:ascii="Cascadia Mono" w:cs="Cascadia Mono" w:eastAsia="Cascadia Mono" w:hAnsi="Cascadia Mono"/>
                <w:sz w:val="19"/>
                <w:szCs w:val="19"/>
                <w:rtl w:val="0"/>
              </w:rPr>
              <w:t xml:space="preserve">Ridge:Renew half round or angled ridge tiles edge bedded onto roofing tiles with solid bedding at butt joints in coloured mortar (1:3) and remove waste and debris., Quantity: 5.00 LM, SOR: 201703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scadia Mono" w:cs="Cascadia Mono" w:eastAsia="Cascadia Mono" w:hAnsi="Cascadia Mono"/>
                <w:b w:val="0"/>
                <w:i w:val="0"/>
                <w:smallCaps w:val="0"/>
                <w:strike w:val="0"/>
                <w:color w:val="000000"/>
                <w:sz w:val="19"/>
                <w:szCs w:val="19"/>
                <w:u w:val="none"/>
                <w:shd w:fill="auto" w:val="clear"/>
                <w:vertAlign w:val="baseline"/>
              </w:rPr>
            </w:pPr>
            <w:r w:rsidDel="00000000" w:rsidR="00000000" w:rsidRPr="00000000">
              <w:rPr>
                <w:rFonts w:ascii="Cascadia Mono" w:cs="Cascadia Mono" w:eastAsia="Cascadia Mono" w:hAnsi="Cascadia Mono"/>
                <w:sz w:val="19"/>
                <w:szCs w:val="19"/>
                <w:rtl w:val="0"/>
              </w:rPr>
              <w:br w:type="textWrapping"/>
              <w:t xml:space="preserve">Ridge:Remove and refix any loose ridge tiles edge bedded onto roof tiles and with solid bedding at butt joints in coloured mortar (1:3) and mechanically fixed where necessary., Quantity: -5.00 LM, SOR: 201715</w:t>
            </w:r>
            <w:r w:rsidDel="00000000" w:rsidR="00000000" w:rsidRPr="00000000">
              <w:rPr>
                <w:rFonts w:ascii="Cascadia Mono" w:cs="Cascadia Mono" w:eastAsia="Cascadia Mono" w:hAnsi="Cascadia Mono"/>
                <w:b w:val="0"/>
                <w:i w:val="0"/>
                <w:smallCaps w:val="0"/>
                <w:strike w:val="0"/>
                <w:color w:val="000000"/>
                <w:sz w:val="19"/>
                <w:szCs w:val="19"/>
                <w:u w:val="none"/>
                <w:shd w:fill="auto" w:val="clear"/>
                <w:vertAlign w:val="baseline"/>
                <w:rtl w:val="0"/>
              </w:rPr>
              <w:br w:type="textWrapping"/>
              <w:br w:type="textWrapping"/>
              <w:t xml:space="preserve">Roof Covering:Extra over any renewal or refixing of roof tiles or slates for renew roofing felt and battens., Quantity: 48.00 SM, SOR: 201150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scadia Mono" w:cs="Cascadia Mono" w:eastAsia="Cascadia Mono" w:hAnsi="Cascadia Mono"/>
                <w:sz w:val="19"/>
                <w:szCs w:val="19"/>
              </w:rPr>
            </w:pPr>
            <w:r w:rsidDel="00000000" w:rsidR="00000000" w:rsidRPr="00000000">
              <w:rPr>
                <w:rFonts w:ascii="Cascadia Mono" w:cs="Cascadia Mono" w:eastAsia="Cascadia Mono" w:hAnsi="Cascadia Mono"/>
                <w:sz w:val="19"/>
                <w:szCs w:val="19"/>
                <w:rtl w:val="0"/>
              </w:rPr>
              <w:br w:type="textWrapping"/>
              <w:t xml:space="preserve">Verge:Renew verge and mineral fibre undercloak to concrete or clay tiles bedded and pointed in coloured mortar (1:3) including all cutting of tiles and refix or renew stainless steel verge clips and remove waste and debris., Quantity: 9.00 LM, SOR: 201503</w:t>
            </w:r>
            <w:r w:rsidDel="00000000" w:rsidR="00000000" w:rsidRPr="00000000">
              <w:rPr>
                <w:rFonts w:ascii="Cascadia Mono" w:cs="Cascadia Mono" w:eastAsia="Cascadia Mono" w:hAnsi="Cascadia Mono"/>
                <w:b w:val="0"/>
                <w:i w:val="0"/>
                <w:smallCaps w:val="0"/>
                <w:strike w:val="0"/>
                <w:color w:val="000000"/>
                <w:sz w:val="19"/>
                <w:szCs w:val="19"/>
                <w:u w:val="none"/>
                <w:shd w:fill="auto" w:val="clear"/>
                <w:vertAlign w:val="baseline"/>
                <w:rtl w:val="0"/>
              </w:rPr>
              <w:br w:type="textWrapping"/>
              <w:br w:type="textWrapping"/>
              <w:t xml:space="preserve">Fascia/Barge:Renew fascia or barge with WPB external quality plywood, ne 300mm wide fixed to roof timbers, apply preservative to cut ends, including for any shaping to junction with bargeboard remove and refix rainwater goods and any cabling, adjust roof tiles and felt, renewal of any support battens and all mitred joints and decorate to match existing and remove waste and debris., Quantity: 21.00 LM, SOR: 303003</w:t>
              <w:br w:type="textWrapping"/>
              <w:br w:type="textWrapping"/>
              <w:t xml:space="preserve">Soffit:Renew soffit board with WPB plywood ne 300mm wide including renew noggins as necessary fixed to roof timbers and refix cables and decorate to match existing and remove waste and debris., Quantity: 21.00 LM, SOR: 303008</w:t>
              <w:br w:type="textWrapping"/>
              <w:br w:type="textWrapping"/>
              <w:t xml:space="preserve">Gutter:Take down any PVCu gutter, remove and refix brackets to fascia and refix gutter to brackets to line and level including all angles, outlets and stop ends and remake all joints., Quantity: 12.00 LM, SOR: 603109</w:t>
              <w:br w:type="textWrapping"/>
              <w:br w:type="textWrapping"/>
              <w:t xml:space="preserve">Slate:Remove existing lead or proprietary slate to ne 150mm diameter pipe and replace with 500x500mm lead slate with 200mm high collar to ne 150mm diameter pipe including all labours and remove waste and debris., Quantity: 1.00 NO, SOR: 231001</w:t>
              <w:br w:type="textWrapping"/>
              <w:br w:type="textWrapping"/>
              <w:t xml:space="preserve">Flashing:Take off lead flashing, set aside, hack out pointing, clean out groove of brickwork, refix flashing and wedge with lead and repoint in mastic., Quantity: 6.00 LM, SOR: 231013</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scadia Mono" w:cs="Cascadia Mono" w:eastAsia="Cascadia Mono" w:hAnsi="Cascadia Mono"/>
                <w:sz w:val="19"/>
                <w:szCs w:val="19"/>
                <w:rtl w:val="0"/>
              </w:rPr>
              <w:br w:type="textWrapping"/>
              <w:t xml:space="preserve">SCAFFOLDINGAlteration to scaffolding to extend to gable end with hop up., Quantity: 1.00 , SOR: </w:t>
            </w:r>
            <w:r w:rsidDel="00000000" w:rsidR="00000000" w:rsidRPr="00000000">
              <w:rPr>
                <w:rFonts w:ascii="Cascadia Mono" w:cs="Cascadia Mono" w:eastAsia="Cascadia Mono" w:hAnsi="Cascadia Mono"/>
                <w:b w:val="0"/>
                <w:i w:val="0"/>
                <w:smallCaps w:val="0"/>
                <w:strike w:val="0"/>
                <w:color w:val="000000"/>
                <w:sz w:val="19"/>
                <w:szCs w:val="19"/>
                <w:u w:val="none"/>
                <w:shd w:fill="auto" w:val="clear"/>
                <w:vertAlign w:val="baseline"/>
                <w:rtl w:val="0"/>
              </w:rPr>
              <w:br w:type="textWrapping"/>
              <w:br w:type="textWrapping"/>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Price (exc VAT)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rPr>
                <w:sz w:val="24"/>
                <w:szCs w:val="24"/>
              </w:rPr>
            </w:pPr>
            <w:r w:rsidDel="00000000" w:rsidR="00000000" w:rsidRPr="00000000">
              <w:rPr>
                <w:rFonts w:ascii="Cascadia Mono" w:cs="Cascadia Mono" w:eastAsia="Cascadia Mono" w:hAnsi="Cascadia Mono"/>
                <w:color w:val="000000"/>
                <w:sz w:val="19"/>
                <w:szCs w:val="19"/>
                <w:rtl w:val="0"/>
              </w:rPr>
              <w:t xml:space="preserve">£</w:t>
            </w:r>
            <w:r w:rsidDel="00000000" w:rsidR="00000000" w:rsidRPr="00000000">
              <w:rPr>
                <w:rFonts w:ascii="Cascadia Mono" w:cs="Cascadia Mono" w:eastAsia="Cascadia Mono" w:hAnsi="Cascadia Mono"/>
                <w:sz w:val="19"/>
                <w:szCs w:val="19"/>
                <w:rtl w:val="0"/>
              </w:rPr>
              <w:t xml:space="preserve">14595.59</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VAT (20%) (if applicable)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2">
            <w:pPr>
              <w:rPr>
                <w:sz w:val="24"/>
                <w:szCs w:val="24"/>
              </w:rPr>
            </w:pPr>
            <w:r w:rsidDel="00000000" w:rsidR="00000000" w:rsidRPr="00000000">
              <w:rPr>
                <w:rFonts w:ascii="Cascadia Mono" w:cs="Cascadia Mono" w:eastAsia="Cascadia Mono" w:hAnsi="Cascadia Mono"/>
                <w:color w:val="000000"/>
                <w:sz w:val="19"/>
                <w:szCs w:val="19"/>
                <w:rtl w:val="0"/>
              </w:rPr>
              <w:t xml:space="preserve">£</w:t>
            </w:r>
            <w:r w:rsidDel="00000000" w:rsidR="00000000" w:rsidRPr="00000000">
              <w:rPr>
                <w:rFonts w:ascii="Cascadia Mono" w:cs="Cascadia Mono" w:eastAsia="Cascadia Mono" w:hAnsi="Cascadia Mono"/>
                <w:sz w:val="19"/>
                <w:szCs w:val="19"/>
                <w:rtl w:val="0"/>
              </w:rPr>
              <w:t xml:space="preserve">2919.12</w:t>
            </w:r>
            <w:r w:rsidDel="00000000" w:rsidR="00000000" w:rsidRPr="00000000">
              <w:rPr>
                <w:rtl w:val="0"/>
              </w:rPr>
            </w:r>
          </w:p>
        </w:tc>
      </w:tr>
      <w:tr>
        <w:trPr>
          <w:cantSplit w:val="0"/>
          <w:trHeight w:val="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Price (inc VAT)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4">
            <w:pPr>
              <w:rPr>
                <w:sz w:val="24"/>
                <w:szCs w:val="24"/>
              </w:rPr>
            </w:pPr>
            <w:r w:rsidDel="00000000" w:rsidR="00000000" w:rsidRPr="00000000">
              <w:rPr>
                <w:rFonts w:ascii="Cascadia Mono" w:cs="Cascadia Mono" w:eastAsia="Cascadia Mono" w:hAnsi="Cascadia Mono"/>
                <w:color w:val="000000"/>
                <w:sz w:val="19"/>
                <w:szCs w:val="19"/>
                <w:rtl w:val="0"/>
              </w:rPr>
              <w:t xml:space="preserve">£</w:t>
            </w:r>
            <w:r w:rsidDel="00000000" w:rsidR="00000000" w:rsidRPr="00000000">
              <w:rPr>
                <w:rFonts w:ascii="Cascadia Mono" w:cs="Cascadia Mono" w:eastAsia="Cascadia Mono" w:hAnsi="Cascadia Mono"/>
                <w:sz w:val="19"/>
                <w:szCs w:val="19"/>
                <w:rtl w:val="0"/>
              </w:rPr>
              <w:t xml:space="preserve">17514.71</w:t>
            </w:r>
            <w:r w:rsidDel="00000000" w:rsidR="00000000" w:rsidRPr="00000000">
              <w:rPr>
                <w:rtl w:val="0"/>
              </w:rPr>
            </w:r>
          </w:p>
        </w:tc>
      </w:tr>
    </w:tbl>
    <w:p w:rsidR="00000000" w:rsidDel="00000000" w:rsidP="00000000" w:rsidRDefault="00000000" w:rsidRPr="00000000" w14:paraId="00000025">
      <w:pPr>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scadia Mon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C2453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semiHidden w:val="1"/>
    <w:rsid w:val="00103216"/>
    <w:rPr>
      <w:sz w:val="16"/>
      <w:szCs w:val="16"/>
    </w:rPr>
  </w:style>
  <w:style w:type="paragraph" w:styleId="CommentText">
    <w:name w:val="annotation text"/>
    <w:basedOn w:val="Normal"/>
    <w:semiHidden w:val="1"/>
    <w:rsid w:val="00103216"/>
    <w:rPr>
      <w:sz w:val="20"/>
      <w:szCs w:val="20"/>
    </w:rPr>
  </w:style>
  <w:style w:type="paragraph" w:styleId="CommentSubject">
    <w:name w:val="annotation subject"/>
    <w:basedOn w:val="CommentText"/>
    <w:next w:val="CommentText"/>
    <w:semiHidden w:val="1"/>
    <w:rsid w:val="00103216"/>
    <w:rPr>
      <w:b w:val="1"/>
      <w:bCs w:val="1"/>
    </w:rPr>
  </w:style>
  <w:style w:type="paragraph" w:styleId="BalloonText">
    <w:name w:val="Balloon Text"/>
    <w:basedOn w:val="Normal"/>
    <w:semiHidden w:val="1"/>
    <w:rsid w:val="00103216"/>
    <w:rPr>
      <w:rFonts w:ascii="Tahoma" w:cs="Tahoma" w:hAnsi="Tahoma"/>
      <w:sz w:val="16"/>
      <w:szCs w:val="16"/>
    </w:rPr>
  </w:style>
  <w:style w:type="paragraph" w:styleId="PlainText">
    <w:name w:val="Plain Text"/>
    <w:basedOn w:val="Normal"/>
    <w:link w:val="PlainTextChar"/>
    <w:uiPriority w:val="99"/>
    <w:unhideWhenUsed w:val="1"/>
    <w:rsid w:val="00492D55"/>
    <w:rPr>
      <w:rFonts w:ascii="Consolas" w:cs="Consolas" w:eastAsia="Calibri" w:hAnsi="Consolas"/>
      <w:sz w:val="21"/>
      <w:szCs w:val="21"/>
      <w:lang w:eastAsia="en-US"/>
    </w:rPr>
  </w:style>
  <w:style w:type="character" w:styleId="PlainTextChar" w:customStyle="1">
    <w:name w:val="Plain Text Char"/>
    <w:link w:val="PlainText"/>
    <w:uiPriority w:val="99"/>
    <w:rsid w:val="00492D55"/>
    <w:rPr>
      <w:rFonts w:ascii="Consolas" w:cs="Consolas" w:eastAsia="Calibri" w:hAnsi="Consolas"/>
      <w:sz w:val="21"/>
      <w:szCs w:val="21"/>
      <w:lang w:eastAsia="en-US"/>
    </w:rPr>
  </w:style>
  <w:style w:type="paragraph" w:styleId="NoSpacing">
    <w:name w:val="No Spacing"/>
    <w:uiPriority w:val="1"/>
    <w:qFormat w:val="1"/>
    <w:rsid w:val="00B63317"/>
    <w:rPr>
      <w:rFonts w:ascii="Calibri" w:eastAsia="Calibri" w:hAnsi="Calibri"/>
      <w:sz w:val="22"/>
      <w:szCs w:val="22"/>
      <w:lang w:eastAsia="en-US"/>
    </w:rPr>
  </w:style>
  <w:style w:type="paragraph" w:styleId="Default" w:customStyle="1">
    <w:name w:val="Default"/>
    <w:rsid w:val="006502D0"/>
    <w:pPr>
      <w:autoSpaceDE w:val="0"/>
      <w:autoSpaceDN w:val="0"/>
      <w:adjustRightInd w:val="0"/>
    </w:pPr>
    <w:rPr>
      <w:rFonts w:ascii="Tahoma" w:cs="Tahoma" w:hAnsi="Tahoma"/>
      <w:color w:val="000000"/>
      <w:sz w:val="24"/>
      <w:szCs w:val="24"/>
    </w:rPr>
  </w:style>
  <w:style w:type="paragraph" w:styleId="ListParagraph">
    <w:name w:val="List Paragraph"/>
    <w:basedOn w:val="Normal"/>
    <w:uiPriority w:val="34"/>
    <w:qFormat w:val="1"/>
    <w:rsid w:val="009E0E62"/>
    <w:pPr>
      <w:overflowPunct w:val="0"/>
      <w:autoSpaceDE w:val="0"/>
      <w:autoSpaceDN w:val="0"/>
      <w:adjustRightInd w:val="0"/>
      <w:ind w:left="720"/>
      <w:contextualSpacing w:val="1"/>
      <w:textAlignment w:val="baseline"/>
    </w:pPr>
    <w:rPr>
      <w:szCs w:val="20"/>
    </w:rPr>
  </w:style>
  <w:style w:type="character" w:styleId="Hyperlink">
    <w:name w:val="Hyperlink"/>
    <w:rsid w:val="00E455C8"/>
    <w:rPr>
      <w:color w:val="0563c1"/>
      <w:u w:val="single"/>
    </w:rPr>
  </w:style>
  <w:style w:type="character" w:styleId="UnresolvedMention">
    <w:name w:val="Unresolved Mention"/>
    <w:uiPriority w:val="99"/>
    <w:semiHidden w:val="1"/>
    <w:unhideWhenUsed w:val="1"/>
    <w:rsid w:val="00E455C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kyK48p0LZl4TZQqrF0ryC3s4GQ==">CgMxLjA4AHIhMVdpOU1HOFhwbGpDbldUbXJuc0pXdDN6S3lIOTRkdElF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2024-07-15T08:46:00Z</dcterms:created>
  <dc:creator>helen.stow</dc:creator>
</cp:coreProperties>
</file>